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outlineLvl w:val="0"/>
        <w:rPr>
          <w:rFonts w:ascii="黑体" w:hAnsi="黑体" w:eastAsia="黑体"/>
          <w:color w:val="000000"/>
          <w:sz w:val="36"/>
        </w:rPr>
      </w:pPr>
      <w:bookmarkStart w:id="0" w:name="_Toc530473016"/>
      <w:bookmarkStart w:id="1" w:name="_Toc1864797644"/>
      <w:bookmarkStart w:id="2" w:name="_Toc30301"/>
      <w:bookmarkStart w:id="3" w:name="_重庆市科学技术奖提名公示内容"/>
      <w:r>
        <w:rPr>
          <w:rFonts w:hint="eastAsia" w:ascii="黑体" w:hAnsi="黑体" w:eastAsia="黑体"/>
          <w:color w:val="000000"/>
          <w:sz w:val="36"/>
        </w:rPr>
        <w:t>重庆市科学技术奖提名公示内容</w:t>
      </w:r>
      <w:bookmarkEnd w:id="0"/>
      <w:bookmarkEnd w:id="1"/>
      <w:bookmarkEnd w:id="2"/>
    </w:p>
    <w:bookmarkEnd w:id="3"/>
    <w:p>
      <w:pPr>
        <w:spacing w:line="360" w:lineRule="auto"/>
        <w:jc w:val="center"/>
        <w:rPr>
          <w:b/>
          <w:bCs/>
          <w:color w:val="000000"/>
          <w:sz w:val="24"/>
          <w:szCs w:val="24"/>
        </w:rPr>
      </w:pPr>
      <w:bookmarkStart w:id="4" w:name="_Toc151695883"/>
      <w:r>
        <w:rPr>
          <w:bCs/>
          <w:color w:val="000000"/>
          <w:sz w:val="24"/>
          <w:szCs w:val="24"/>
        </w:rPr>
        <w:t>（</w:t>
      </w:r>
      <w:r>
        <w:rPr>
          <w:color w:val="000000"/>
          <w:sz w:val="24"/>
          <w:szCs w:val="24"/>
        </w:rPr>
        <w:t>202</w:t>
      </w:r>
      <w:r>
        <w:rPr>
          <w:rFonts w:hint="eastAsia"/>
          <w:color w:val="000000"/>
          <w:sz w:val="24"/>
          <w:szCs w:val="24"/>
          <w:lang w:val="en-US" w:eastAsia="zh-CN"/>
        </w:rPr>
        <w:t>4</w:t>
      </w:r>
      <w:r>
        <w:rPr>
          <w:bCs/>
          <w:color w:val="000000"/>
          <w:sz w:val="24"/>
          <w:szCs w:val="24"/>
        </w:rPr>
        <w:t>年度）</w:t>
      </w:r>
      <w:bookmarkEnd w:id="4"/>
    </w:p>
    <w:p>
      <w:pPr>
        <w:numPr>
          <w:numId w:val="0"/>
        </w:numPr>
        <w:rPr>
          <w:rFonts w:hint="eastAsia" w:ascii="宋体" w:hAnsi="宋体"/>
          <w:sz w:val="28"/>
          <w:szCs w:val="28"/>
          <w:lang w:val="en-US" w:eastAsia="zh-CN"/>
        </w:rPr>
      </w:pPr>
      <w:r>
        <w:rPr>
          <w:rFonts w:hint="eastAsia" w:ascii="宋体" w:hAnsi="宋体"/>
          <w:b/>
          <w:sz w:val="28"/>
          <w:szCs w:val="28"/>
          <w:lang w:val="en-US" w:eastAsia="zh-CN"/>
        </w:rPr>
        <w:t>1.</w:t>
      </w:r>
      <w:r>
        <w:rPr>
          <w:rFonts w:hint="eastAsia" w:ascii="宋体" w:hAnsi="宋体"/>
          <w:b/>
          <w:sz w:val="28"/>
          <w:szCs w:val="28"/>
        </w:rPr>
        <w:t>项目名称</w:t>
      </w:r>
      <w:r>
        <w:rPr>
          <w:rFonts w:hint="eastAsia" w:ascii="宋体" w:hAnsi="宋体"/>
          <w:sz w:val="28"/>
          <w:szCs w:val="28"/>
        </w:rPr>
        <w:t>:</w:t>
      </w:r>
      <w:r>
        <w:rPr>
          <w:rFonts w:hint="eastAsia" w:ascii="宋体" w:hAnsi="宋体"/>
          <w:sz w:val="28"/>
          <w:szCs w:val="28"/>
          <w:lang w:val="en-US" w:eastAsia="zh-CN"/>
        </w:rPr>
        <w:t xml:space="preserve">  </w:t>
      </w:r>
    </w:p>
    <w:p>
      <w:pPr>
        <w:numPr>
          <w:numId w:val="0"/>
        </w:numPr>
        <w:ind w:firstLine="420" w:firstLineChars="0"/>
        <w:rPr>
          <w:rFonts w:ascii="宋体" w:hAnsi="宋体"/>
          <w:sz w:val="24"/>
          <w:szCs w:val="24"/>
        </w:rPr>
      </w:pPr>
      <w:r>
        <w:rPr>
          <w:rFonts w:hint="eastAsia" w:ascii="宋体" w:hAnsi="宋体"/>
          <w:sz w:val="24"/>
          <w:szCs w:val="24"/>
          <w:lang w:eastAsia="zh-CN"/>
        </w:rPr>
        <w:t>燃气管道泄漏多模态感知与风险预警关键技术及应用</w:t>
      </w:r>
    </w:p>
    <w:p>
      <w:pPr>
        <w:numPr>
          <w:numId w:val="0"/>
        </w:numPr>
        <w:rPr>
          <w:rFonts w:hint="eastAsia" w:ascii="宋体" w:hAnsi="宋体"/>
          <w:sz w:val="28"/>
          <w:szCs w:val="28"/>
        </w:rPr>
      </w:pPr>
      <w:r>
        <w:rPr>
          <w:rFonts w:hint="eastAsia" w:ascii="宋体" w:hAnsi="宋体"/>
          <w:b/>
          <w:sz w:val="28"/>
          <w:szCs w:val="28"/>
          <w:lang w:val="en-US" w:eastAsia="zh-CN"/>
        </w:rPr>
        <w:t>2.</w:t>
      </w:r>
      <w:r>
        <w:rPr>
          <w:rFonts w:hint="eastAsia" w:ascii="宋体" w:hAnsi="宋体"/>
          <w:b/>
          <w:sz w:val="28"/>
          <w:szCs w:val="28"/>
        </w:rPr>
        <w:t>提名者及提名等级</w:t>
      </w:r>
      <w:r>
        <w:rPr>
          <w:rFonts w:hint="eastAsia" w:ascii="宋体" w:hAnsi="宋体"/>
          <w:sz w:val="28"/>
          <w:szCs w:val="28"/>
        </w:rPr>
        <w:t>：</w:t>
      </w:r>
    </w:p>
    <w:p>
      <w:pPr>
        <w:numPr>
          <w:numId w:val="0"/>
        </w:numPr>
        <w:ind w:firstLine="420" w:firstLineChars="0"/>
        <w:rPr>
          <w:rFonts w:ascii="宋体" w:hAnsi="宋体"/>
          <w:sz w:val="24"/>
          <w:szCs w:val="24"/>
        </w:rPr>
      </w:pPr>
      <w:r>
        <w:rPr>
          <w:rFonts w:hint="eastAsia" w:ascii="宋体" w:hAnsi="宋体"/>
          <w:sz w:val="24"/>
          <w:szCs w:val="24"/>
        </w:rPr>
        <w:t>重庆市</w:t>
      </w:r>
      <w:r>
        <w:rPr>
          <w:rFonts w:hint="eastAsia" w:ascii="宋体" w:hAnsi="宋体"/>
          <w:sz w:val="24"/>
          <w:szCs w:val="24"/>
          <w:lang w:eastAsia="zh-CN"/>
        </w:rPr>
        <w:t>市场监督管理局</w:t>
      </w:r>
      <w:r>
        <w:rPr>
          <w:rFonts w:hint="eastAsia" w:ascii="宋体" w:hAnsi="宋体"/>
          <w:sz w:val="24"/>
          <w:szCs w:val="24"/>
        </w:rPr>
        <w:t>、重庆市科技进步奖二等奖</w:t>
      </w:r>
    </w:p>
    <w:p>
      <w:pPr>
        <w:rPr>
          <w:rFonts w:ascii="宋体" w:hAnsi="宋体"/>
          <w:b/>
          <w:bCs/>
          <w:sz w:val="28"/>
          <w:szCs w:val="28"/>
        </w:rPr>
      </w:pPr>
      <w:r>
        <w:rPr>
          <w:rFonts w:hint="eastAsia" w:ascii="宋体" w:hAnsi="宋体"/>
          <w:b/>
          <w:bCs/>
          <w:sz w:val="28"/>
          <w:szCs w:val="28"/>
          <w:lang w:val="en-US" w:eastAsia="zh-CN"/>
        </w:rPr>
        <w:t>3</w:t>
      </w:r>
      <w:r>
        <w:rPr>
          <w:rFonts w:ascii="宋体" w:hAnsi="宋体"/>
          <w:b/>
          <w:bCs/>
          <w:sz w:val="28"/>
          <w:szCs w:val="28"/>
        </w:rPr>
        <w:t>.</w:t>
      </w:r>
      <w:r>
        <w:rPr>
          <w:rFonts w:hint="eastAsia" w:ascii="宋体" w:hAnsi="宋体"/>
          <w:b/>
          <w:bCs/>
          <w:sz w:val="28"/>
          <w:szCs w:val="28"/>
        </w:rPr>
        <w:t>项目简介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sz w:val="24"/>
          <w:szCs w:val="24"/>
        </w:rPr>
      </w:pPr>
      <w:r>
        <w:rPr>
          <w:rFonts w:hint="eastAsia" w:ascii="宋体" w:hAnsi="宋体"/>
          <w:sz w:val="24"/>
          <w:szCs w:val="24"/>
        </w:rPr>
        <w:t>本项目针对</w:t>
      </w:r>
      <w:r>
        <w:rPr>
          <w:rFonts w:hint="eastAsia" w:ascii="宋体" w:hAnsi="宋体"/>
          <w:sz w:val="24"/>
          <w:szCs w:val="24"/>
          <w:lang w:val="en-US" w:eastAsia="zh-CN"/>
        </w:rPr>
        <w:t>针对燃气管道内缺陷早期感知不准、多点泄漏定位难、多模态协同风险预警率低等难题，以突破“精准预防-移动监测-快速预警-高效处置”的燃气管道安全保障全链条技术体系为目标，攻克了燃气管道内缺陷高清电磁感知、多点泄漏精准定位、视嗅声磁协同风险监测预警等关键“卡脖子”技术，实现了燃气管道事故风险管控由“常规检测”到“智能检测”、“被动预防”到“主动预防”的根本性转变，引领了燃气管道安全风险防控技术进步</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宋体" w:hAnsi="宋体"/>
          <w:sz w:val="24"/>
          <w:szCs w:val="24"/>
          <w:lang w:val="en-US" w:eastAsia="zh-CN"/>
        </w:rPr>
      </w:pPr>
      <w:r>
        <w:rPr>
          <w:rFonts w:hint="eastAsia" w:ascii="宋体" w:hAnsi="宋体"/>
          <w:sz w:val="24"/>
          <w:szCs w:val="24"/>
          <w:lang w:val="en-US" w:eastAsia="zh-CN"/>
        </w:rPr>
        <w:t>本成果</w:t>
      </w:r>
      <w:r>
        <w:rPr>
          <w:rFonts w:hint="default" w:ascii="宋体" w:hAnsi="宋体"/>
          <w:sz w:val="24"/>
          <w:szCs w:val="24"/>
          <w:lang w:val="en-US" w:eastAsia="zh-CN"/>
        </w:rPr>
        <w:t>获授权发明专利</w:t>
      </w:r>
      <w:r>
        <w:rPr>
          <w:rFonts w:hint="eastAsia" w:ascii="宋体" w:hAnsi="宋体"/>
          <w:sz w:val="24"/>
          <w:szCs w:val="24"/>
          <w:lang w:val="en-US" w:eastAsia="zh-CN"/>
        </w:rPr>
        <w:t>27</w:t>
      </w:r>
      <w:r>
        <w:rPr>
          <w:rFonts w:hint="default" w:ascii="宋体" w:hAnsi="宋体"/>
          <w:sz w:val="24"/>
          <w:szCs w:val="24"/>
          <w:lang w:val="en-US" w:eastAsia="zh-CN"/>
        </w:rPr>
        <w:t>项</w:t>
      </w:r>
      <w:r>
        <w:rPr>
          <w:rFonts w:hint="eastAsia" w:ascii="宋体" w:hAnsi="宋体"/>
          <w:sz w:val="24"/>
          <w:szCs w:val="24"/>
          <w:lang w:val="en-US" w:eastAsia="zh-CN"/>
        </w:rPr>
        <w:t>、牵头制定国家标准1项、行业标准1项、地方标准2项，登记</w:t>
      </w:r>
      <w:r>
        <w:rPr>
          <w:rFonts w:hint="default" w:ascii="宋体" w:hAnsi="宋体"/>
          <w:sz w:val="24"/>
          <w:szCs w:val="24"/>
          <w:lang w:val="en-US" w:eastAsia="zh-CN"/>
        </w:rPr>
        <w:t>软件著作权</w:t>
      </w:r>
      <w:r>
        <w:rPr>
          <w:rFonts w:hint="eastAsia" w:ascii="宋体" w:hAnsi="宋体"/>
          <w:sz w:val="24"/>
          <w:szCs w:val="24"/>
          <w:lang w:val="en-US" w:eastAsia="zh-CN"/>
        </w:rPr>
        <w:t>3</w:t>
      </w:r>
      <w:r>
        <w:rPr>
          <w:rFonts w:hint="default" w:ascii="宋体" w:hAnsi="宋体"/>
          <w:sz w:val="24"/>
          <w:szCs w:val="24"/>
          <w:lang w:val="en-US" w:eastAsia="zh-CN"/>
        </w:rPr>
        <w:t>项</w:t>
      </w:r>
      <w:r>
        <w:rPr>
          <w:rFonts w:hint="eastAsia" w:ascii="宋体" w:hAnsi="宋体"/>
          <w:sz w:val="24"/>
          <w:szCs w:val="24"/>
          <w:lang w:val="en-US" w:eastAsia="zh-CN"/>
        </w:rPr>
        <w:t>，</w:t>
      </w:r>
      <w:r>
        <w:rPr>
          <w:rFonts w:hint="default" w:ascii="宋体" w:hAnsi="宋体"/>
          <w:sz w:val="24"/>
          <w:szCs w:val="24"/>
          <w:lang w:val="en-US" w:eastAsia="zh-CN"/>
        </w:rPr>
        <w:t>发表相关论文</w:t>
      </w:r>
      <w:r>
        <w:rPr>
          <w:rFonts w:hint="eastAsia" w:ascii="宋体" w:hAnsi="宋体"/>
          <w:sz w:val="24"/>
          <w:szCs w:val="24"/>
          <w:lang w:val="en-US" w:eastAsia="zh-CN"/>
        </w:rPr>
        <w:t>15</w:t>
      </w:r>
      <w:r>
        <w:rPr>
          <w:rFonts w:hint="default" w:ascii="宋体" w:hAnsi="宋体"/>
          <w:sz w:val="24"/>
          <w:szCs w:val="24"/>
          <w:lang w:val="en-US" w:eastAsia="zh-CN"/>
        </w:rPr>
        <w:t>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sz w:val="24"/>
          <w:szCs w:val="24"/>
        </w:rPr>
      </w:pPr>
      <w:r>
        <w:rPr>
          <w:rFonts w:hint="eastAsia" w:ascii="宋体" w:hAnsi="宋体"/>
          <w:sz w:val="24"/>
          <w:szCs w:val="24"/>
          <w:lang w:val="en-US" w:eastAsia="zh-CN"/>
        </w:rPr>
        <w:t>近五年</w:t>
      </w:r>
      <w:r>
        <w:rPr>
          <w:rFonts w:hint="default" w:ascii="宋体" w:hAnsi="宋体"/>
          <w:sz w:val="24"/>
          <w:szCs w:val="24"/>
          <w:lang w:val="en-US" w:eastAsia="zh-CN"/>
        </w:rPr>
        <w:t>项目成果</w:t>
      </w:r>
      <w:r>
        <w:rPr>
          <w:rFonts w:hint="eastAsia" w:ascii="宋体" w:hAnsi="宋体"/>
          <w:sz w:val="24"/>
          <w:szCs w:val="24"/>
          <w:lang w:val="en-US" w:eastAsia="zh-CN"/>
        </w:rPr>
        <w:t>已</w:t>
      </w:r>
      <w:r>
        <w:rPr>
          <w:rFonts w:hint="default" w:ascii="宋体" w:hAnsi="宋体"/>
          <w:sz w:val="24"/>
          <w:szCs w:val="24"/>
          <w:lang w:val="en-US" w:eastAsia="zh-CN"/>
        </w:rPr>
        <w:t>在重庆、四川</w:t>
      </w:r>
      <w:r>
        <w:rPr>
          <w:rFonts w:hint="eastAsia" w:ascii="宋体" w:hAnsi="宋体"/>
          <w:sz w:val="24"/>
          <w:szCs w:val="24"/>
          <w:lang w:val="en-US" w:eastAsia="zh-CN"/>
        </w:rPr>
        <w:t>、陕西</w:t>
      </w:r>
      <w:r>
        <w:rPr>
          <w:rFonts w:hint="default" w:ascii="宋体" w:hAnsi="宋体"/>
          <w:sz w:val="24"/>
          <w:szCs w:val="24"/>
          <w:lang w:val="en-US" w:eastAsia="zh-CN"/>
        </w:rPr>
        <w:t>等</w:t>
      </w:r>
      <w:r>
        <w:rPr>
          <w:rFonts w:hint="eastAsia" w:ascii="宋体" w:hAnsi="宋体"/>
          <w:sz w:val="24"/>
          <w:szCs w:val="24"/>
          <w:lang w:val="en-US" w:eastAsia="zh-CN"/>
        </w:rPr>
        <w:t>省市的燃气管道检测与评价中开展应用，为上百家企业解决了大量痛点问题，其中，燃气管道泄漏多模态感知监测一体化巡检装备成功服役于中国首条世界级管线中俄东线长江盾构隧道段，开创了国内首次管道巡检工作的先例。</w:t>
      </w:r>
      <w:r>
        <w:rPr>
          <w:rFonts w:hint="default" w:ascii="宋体" w:hAnsi="宋体"/>
          <w:sz w:val="24"/>
          <w:szCs w:val="24"/>
          <w:lang w:val="en-US" w:eastAsia="zh-CN"/>
        </w:rPr>
        <w:t>项目成果</w:t>
      </w:r>
      <w:r>
        <w:rPr>
          <w:rFonts w:hint="eastAsia" w:ascii="宋体" w:hAnsi="宋体"/>
          <w:sz w:val="24"/>
          <w:szCs w:val="24"/>
          <w:lang w:val="en-US" w:eastAsia="zh-CN"/>
        </w:rPr>
        <w:t>应用后全市未发生一起燃气管道泄漏造成的伤害性事故，社会效益和经济效益显著，有效推动了燃气管道的安全科学技术进步，为重庆等超大城市安全治理与现代化治理提供了重要技术支撑，为国家能源安全事业作出了重要贡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b/>
          <w:sz w:val="28"/>
          <w:szCs w:val="28"/>
          <w:lang w:eastAsia="zh-CN"/>
        </w:rPr>
      </w:pPr>
      <w:r>
        <w:rPr>
          <w:rFonts w:hint="eastAsia" w:ascii="宋体" w:hAnsi="宋体"/>
          <w:b/>
          <w:bCs/>
          <w:sz w:val="28"/>
          <w:szCs w:val="28"/>
          <w:lang w:eastAsia="zh-CN"/>
        </w:rPr>
        <w:t>主要</w:t>
      </w:r>
      <w:r>
        <w:rPr>
          <w:rFonts w:hint="eastAsia" w:ascii="宋体" w:hAnsi="宋体"/>
          <w:b/>
          <w:bCs/>
          <w:sz w:val="28"/>
          <w:szCs w:val="28"/>
        </w:rPr>
        <w:t>完成单位</w:t>
      </w:r>
      <w:r>
        <w:rPr>
          <w:rFonts w:hint="eastAsia" w:ascii="宋体" w:hAnsi="宋体"/>
          <w:b/>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right="0" w:rightChars="0" w:firstLine="420" w:firstLineChars="0"/>
        <w:jc w:val="both"/>
        <w:textAlignment w:val="auto"/>
        <w:outlineLvl w:val="9"/>
        <w:rPr>
          <w:rFonts w:hint="eastAsia" w:ascii="宋体" w:hAnsi="宋体"/>
          <w:sz w:val="24"/>
          <w:szCs w:val="24"/>
          <w:lang w:val="en-US" w:eastAsia="zh-CN"/>
        </w:rPr>
      </w:pPr>
      <w:r>
        <w:rPr>
          <w:rFonts w:hint="eastAsia" w:ascii="宋体" w:hAnsi="宋体"/>
          <w:sz w:val="24"/>
          <w:szCs w:val="24"/>
        </w:rPr>
        <w:t>重庆</w:t>
      </w:r>
      <w:r>
        <w:rPr>
          <w:rFonts w:hint="eastAsia" w:ascii="宋体" w:hAnsi="宋体"/>
          <w:sz w:val="24"/>
          <w:szCs w:val="24"/>
          <w:lang w:eastAsia="zh-CN"/>
        </w:rPr>
        <w:t>市特种设备检测研究院、</w:t>
      </w:r>
      <w:bookmarkStart w:id="5" w:name="OLE_LINK2"/>
      <w:r>
        <w:rPr>
          <w:rFonts w:hint="eastAsia" w:ascii="宋体" w:hAnsi="宋体"/>
          <w:sz w:val="24"/>
          <w:szCs w:val="24"/>
          <w:lang w:val="en-US" w:eastAsia="zh-CN"/>
        </w:rPr>
        <w:t>中国特种设备检测研究院、重庆邮电大学、七腾机器人有限公司</w:t>
      </w:r>
      <w:bookmarkEnd w:id="5"/>
      <w:r>
        <w:rPr>
          <w:rFonts w:hint="eastAsia" w:ascii="宋体" w:hAnsi="宋体"/>
          <w:sz w:val="24"/>
          <w:szCs w:val="24"/>
          <w:lang w:val="en-US" w:eastAsia="zh-CN"/>
        </w:rPr>
        <w:t>、四川经准特种设备检验有限公司、重庆燃气集团股份有限公司</w:t>
      </w:r>
    </w:p>
    <w:p>
      <w:pPr>
        <w:autoSpaceDE w:val="0"/>
        <w:autoSpaceDN w:val="0"/>
        <w:adjustRightInd w:val="0"/>
        <w:ind w:left="1680" w:hanging="1687" w:hangingChars="600"/>
        <w:jc w:val="left"/>
        <w:rPr>
          <w:rFonts w:ascii="宋体" w:hAnsi="宋体"/>
          <w:sz w:val="28"/>
          <w:szCs w:val="28"/>
        </w:rPr>
      </w:pPr>
      <w:r>
        <w:rPr>
          <w:rFonts w:hint="eastAsia" w:ascii="宋体" w:hAnsi="宋体"/>
          <w:b/>
          <w:sz w:val="28"/>
          <w:szCs w:val="28"/>
          <w:lang w:val="en-US" w:eastAsia="zh-CN"/>
        </w:rPr>
        <w:t>5.主要</w:t>
      </w:r>
      <w:r>
        <w:rPr>
          <w:rFonts w:hint="eastAsia" w:ascii="宋体" w:hAnsi="宋体"/>
          <w:b/>
          <w:sz w:val="28"/>
          <w:szCs w:val="28"/>
        </w:rPr>
        <w:t>完成人</w:t>
      </w:r>
      <w:r>
        <w:rPr>
          <w:rFonts w:hint="eastAsia" w:ascii="宋体" w:hAnsi="宋体"/>
          <w:b/>
          <w:sz w:val="28"/>
          <w:szCs w:val="28"/>
          <w:lang w:eastAsia="zh-CN"/>
        </w:rPr>
        <w:t>及其贡献</w:t>
      </w:r>
      <w:r>
        <w:rPr>
          <w:rFonts w:hint="eastAsia" w:ascii="宋体" w:hAnsi="宋体"/>
          <w:b/>
          <w:sz w:val="28"/>
          <w:szCs w:val="28"/>
        </w:rPr>
        <w:t>：</w:t>
      </w:r>
      <w:r>
        <w:rPr>
          <w:rFonts w:hint="eastAsia" w:ascii="宋体" w:hAnsi="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20" w:firstLineChars="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康笃刚、梅琳、李帅永、陈金忠、张琳、史冠男、宋雯、曾瑜、李童、蒋启明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20" w:firstLineChars="0"/>
        <w:jc w:val="both"/>
        <w:textAlignment w:val="auto"/>
        <w:outlineLvl w:val="9"/>
        <w:rPr>
          <w:rFonts w:hint="eastAsia"/>
          <w:lang w:val="en-US" w:eastAsia="zh-CN"/>
        </w:rPr>
      </w:pPr>
      <w:r>
        <w:rPr>
          <w:rFonts w:hint="eastAsia" w:ascii="宋体" w:hAnsi="宋体"/>
          <w:sz w:val="24"/>
          <w:szCs w:val="24"/>
          <w:lang w:val="en-US" w:eastAsia="zh-CN"/>
        </w:rPr>
        <w:br w:type="page"/>
      </w:r>
      <w:bookmarkStart w:id="6" w:name="_GoBack"/>
      <w:bookmarkEnd w:id="6"/>
    </w:p>
    <w:p>
      <w:pPr>
        <w:spacing w:before="156" w:beforeLines="50" w:after="156" w:afterLines="50" w:line="360" w:lineRule="auto"/>
        <w:rPr>
          <w:rFonts w:ascii="宋体" w:hAnsi="宋体"/>
          <w:b/>
          <w:sz w:val="28"/>
          <w:szCs w:val="28"/>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b/>
          <w:sz w:val="28"/>
          <w:szCs w:val="28"/>
        </w:rPr>
        <w:t>主要知识产权</w:t>
      </w:r>
    </w:p>
    <w:tbl>
      <w:tblPr>
        <w:tblStyle w:val="14"/>
        <w:tblW w:w="8587"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1325"/>
        <w:gridCol w:w="2230"/>
        <w:gridCol w:w="1275"/>
        <w:gridCol w:w="153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592" w:type="dxa"/>
            <w:vAlign w:val="center"/>
          </w:tcPr>
          <w:p>
            <w:pPr>
              <w:pStyle w:val="15"/>
              <w:spacing w:before="117" w:line="220" w:lineRule="auto"/>
              <w:ind w:left="366" w:right="120" w:hanging="235"/>
              <w:jc w:val="both"/>
              <w:rPr>
                <w:rFonts w:ascii="宋体" w:hAnsi="宋体" w:eastAsia="宋体"/>
                <w:color w:val="auto"/>
                <w:spacing w:val="-4"/>
                <w:lang w:eastAsia="zh-CN"/>
              </w:rPr>
            </w:pPr>
            <w:r>
              <w:rPr>
                <w:rFonts w:hint="eastAsia" w:ascii="宋体" w:hAnsi="宋体" w:eastAsia="宋体"/>
                <w:color w:val="auto"/>
                <w:spacing w:val="-4"/>
                <w:lang w:eastAsia="zh-CN"/>
              </w:rPr>
              <w:t>序号</w:t>
            </w:r>
          </w:p>
        </w:tc>
        <w:tc>
          <w:tcPr>
            <w:tcW w:w="1325" w:type="dxa"/>
            <w:vAlign w:val="center"/>
          </w:tcPr>
          <w:p>
            <w:pPr>
              <w:pStyle w:val="15"/>
              <w:spacing w:before="117" w:line="220" w:lineRule="auto"/>
              <w:ind w:left="366" w:right="120" w:hanging="235"/>
              <w:jc w:val="both"/>
              <w:rPr>
                <w:rFonts w:ascii="宋体" w:hAnsi="宋体" w:eastAsia="宋体"/>
                <w:color w:val="auto"/>
              </w:rPr>
            </w:pPr>
            <w:r>
              <w:rPr>
                <w:rFonts w:ascii="宋体" w:hAnsi="宋体" w:eastAsia="宋体"/>
                <w:color w:val="auto"/>
                <w:spacing w:val="-4"/>
              </w:rPr>
              <w:t>知识产权</w:t>
            </w:r>
            <w:r>
              <w:rPr>
                <w:rFonts w:ascii="宋体" w:hAnsi="宋体" w:eastAsia="宋体"/>
                <w:color w:val="auto"/>
                <w:spacing w:val="-3"/>
              </w:rPr>
              <w:t>类别</w:t>
            </w:r>
          </w:p>
        </w:tc>
        <w:tc>
          <w:tcPr>
            <w:tcW w:w="2230" w:type="dxa"/>
            <w:vAlign w:val="center"/>
          </w:tcPr>
          <w:p>
            <w:pPr>
              <w:pStyle w:val="15"/>
              <w:spacing w:before="117" w:line="221" w:lineRule="auto"/>
              <w:ind w:left="128" w:right="118"/>
              <w:jc w:val="center"/>
              <w:rPr>
                <w:rFonts w:ascii="宋体" w:hAnsi="宋体" w:eastAsia="宋体"/>
                <w:color w:val="auto"/>
              </w:rPr>
            </w:pPr>
            <w:r>
              <w:rPr>
                <w:rFonts w:ascii="宋体" w:hAnsi="宋体" w:eastAsia="宋体"/>
                <w:color w:val="auto"/>
                <w:spacing w:val="-4"/>
              </w:rPr>
              <w:t>名称</w:t>
            </w:r>
          </w:p>
        </w:tc>
        <w:tc>
          <w:tcPr>
            <w:tcW w:w="1275" w:type="dxa"/>
            <w:vAlign w:val="center"/>
          </w:tcPr>
          <w:p>
            <w:pPr>
              <w:pStyle w:val="15"/>
              <w:spacing w:before="116" w:line="223" w:lineRule="auto"/>
              <w:ind w:right="133"/>
              <w:jc w:val="center"/>
              <w:rPr>
                <w:rFonts w:ascii="宋体" w:hAnsi="宋体" w:eastAsia="宋体"/>
                <w:color w:val="auto"/>
                <w:spacing w:val="-17"/>
              </w:rPr>
            </w:pPr>
            <w:r>
              <w:rPr>
                <w:rFonts w:ascii="宋体" w:hAnsi="宋体" w:eastAsia="宋体"/>
                <w:color w:val="auto"/>
                <w:spacing w:val="-17"/>
              </w:rPr>
              <w:t>国家</w:t>
            </w:r>
          </w:p>
          <w:p>
            <w:pPr>
              <w:pStyle w:val="15"/>
              <w:spacing w:before="116" w:line="223" w:lineRule="auto"/>
              <w:ind w:right="133"/>
              <w:jc w:val="center"/>
              <w:rPr>
                <w:rFonts w:ascii="宋体" w:hAnsi="宋体" w:eastAsia="宋体"/>
                <w:color w:val="auto"/>
              </w:rPr>
            </w:pPr>
            <w:r>
              <w:rPr>
                <w:rFonts w:ascii="宋体" w:hAnsi="宋体" w:eastAsia="宋体"/>
                <w:color w:val="auto"/>
                <w:spacing w:val="-8"/>
              </w:rPr>
              <w:t>（地区）</w:t>
            </w:r>
          </w:p>
        </w:tc>
        <w:tc>
          <w:tcPr>
            <w:tcW w:w="1530" w:type="dxa"/>
            <w:vAlign w:val="center"/>
          </w:tcPr>
          <w:p>
            <w:pPr>
              <w:pStyle w:val="15"/>
              <w:spacing w:before="261" w:line="219" w:lineRule="auto"/>
              <w:ind w:left="244" w:firstLine="236" w:firstLineChars="100"/>
              <w:jc w:val="both"/>
              <w:rPr>
                <w:rFonts w:ascii="宋体" w:hAnsi="宋体" w:eastAsia="宋体"/>
                <w:color w:val="auto"/>
              </w:rPr>
            </w:pPr>
            <w:r>
              <w:rPr>
                <w:rFonts w:ascii="宋体" w:hAnsi="宋体" w:eastAsia="宋体"/>
                <w:color w:val="auto"/>
                <w:spacing w:val="-2"/>
              </w:rPr>
              <w:t>授权号</w:t>
            </w:r>
          </w:p>
        </w:tc>
        <w:tc>
          <w:tcPr>
            <w:tcW w:w="1635" w:type="dxa"/>
            <w:tcBorders>
              <w:top w:val="single" w:color="000000" w:sz="8" w:space="0"/>
              <w:left w:val="nil"/>
              <w:bottom w:val="single" w:color="000000" w:sz="8" w:space="0"/>
              <w:right w:val="single" w:color="000000" w:sz="8" w:space="0"/>
            </w:tcBorders>
            <w:vAlign w:val="center"/>
          </w:tcPr>
          <w:p>
            <w:pPr>
              <w:widowControl/>
              <w:jc w:val="center"/>
            </w:pPr>
            <w:r>
              <w:rPr>
                <w:rFonts w:hint="eastAsia" w:ascii="宋体" w:hAnsi="宋体" w:cs="宋体"/>
                <w:color w:val="000000"/>
                <w:kern w:val="0"/>
                <w:sz w:val="22"/>
                <w:szCs w:val="22"/>
              </w:rPr>
              <w:t>权利人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1</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基于噪声角谱减法的互相关声源DOA估计方法及电子设备</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ZL202311170984.3</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pPr>
            <w:r>
              <w:rPr>
                <w:rFonts w:hint="eastAsia" w:ascii="宋体" w:hAnsi="宋体" w:cs="宋体"/>
                <w:color w:val="000000"/>
                <w:kern w:val="0"/>
                <w:sz w:val="18"/>
                <w:szCs w:val="18"/>
                <w:lang w:bidi="ar"/>
              </w:rPr>
              <w:t>重庆市特种设备检测研究院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2</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漏磁检测装置、管道缺陷识别方法和验证方法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rPr>
              <w:t>ZL202111543906.4</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pPr>
            <w:r>
              <w:rPr>
                <w:rFonts w:hint="eastAsia" w:ascii="宋体" w:hAnsi="宋体" w:cs="宋体"/>
                <w:color w:val="000000"/>
                <w:kern w:val="0"/>
                <w:sz w:val="18"/>
                <w:szCs w:val="18"/>
                <w:lang w:bidi="ar"/>
              </w:rPr>
              <w:t>中国特种设备检测研究院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3</w:t>
            </w:r>
          </w:p>
        </w:tc>
        <w:tc>
          <w:tcPr>
            <w:tcW w:w="1325"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基于自适应ICA和改进的RLS滤波器的流体管道泄漏定位方法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ZL 202111174673.5</w:t>
            </w:r>
          </w:p>
        </w:tc>
        <w:tc>
          <w:tcPr>
            <w:tcW w:w="1635" w:type="dxa"/>
            <w:tcBorders>
              <w:top w:val="single" w:color="000000" w:sz="8" w:space="0"/>
              <w:left w:val="nil"/>
              <w:bottom w:val="single" w:color="000000" w:sz="8" w:space="0"/>
              <w:right w:val="single" w:color="000000" w:sz="8" w:space="0"/>
            </w:tcBorders>
            <w:vAlign w:val="center"/>
          </w:tcPr>
          <w:p>
            <w:pPr>
              <w:widowControl/>
              <w:spacing w:line="240" w:lineRule="atLeast"/>
              <w:jc w:val="center"/>
              <w:textAlignment w:val="center"/>
            </w:pPr>
            <w:r>
              <w:rPr>
                <w:rFonts w:hint="eastAsia" w:ascii="宋体" w:hAnsi="宋体" w:cs="宋体"/>
                <w:color w:val="000000"/>
                <w:kern w:val="0"/>
                <w:sz w:val="18"/>
                <w:szCs w:val="18"/>
                <w:lang w:bidi="ar"/>
              </w:rPr>
              <w:t>重庆邮电大学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4</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其他</w:t>
            </w:r>
          </w:p>
        </w:tc>
        <w:tc>
          <w:tcPr>
            <w:tcW w:w="22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特种设备风险分级管控通则</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sz w:val="18"/>
                <w:szCs w:val="18"/>
              </w:rPr>
              <w:t>DB 50/T 1304—2022</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pPr>
            <w:r>
              <w:rPr>
                <w:rFonts w:hint="eastAsia" w:ascii="宋体" w:hAnsi="宋体" w:cs="宋体"/>
                <w:color w:val="000000"/>
                <w:kern w:val="0"/>
                <w:sz w:val="18"/>
                <w:szCs w:val="18"/>
                <w:lang w:bidi="ar"/>
              </w:rPr>
              <w:t>重庆市特种设备检测研究院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5</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其他</w:t>
            </w:r>
          </w:p>
        </w:tc>
        <w:tc>
          <w:tcPr>
            <w:tcW w:w="22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特种设备隐患排查治理通则</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sz w:val="18"/>
                <w:szCs w:val="18"/>
              </w:rPr>
              <w:t>DB50/T 1303—2022</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pPr>
            <w:r>
              <w:rPr>
                <w:rFonts w:hint="eastAsia" w:ascii="宋体" w:hAnsi="宋体" w:cs="宋体"/>
                <w:color w:val="000000"/>
                <w:kern w:val="0"/>
                <w:sz w:val="18"/>
                <w:szCs w:val="18"/>
                <w:lang w:bidi="ar"/>
              </w:rPr>
              <w:t>重庆市特种设备检测研究院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6</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其他</w:t>
            </w:r>
          </w:p>
        </w:tc>
        <w:tc>
          <w:tcPr>
            <w:tcW w:w="2230" w:type="dxa"/>
            <w:vAlign w:val="center"/>
          </w:tcPr>
          <w:p>
            <w:pPr>
              <w:widowControl/>
              <w:jc w:val="center"/>
              <w:textAlignment w:val="center"/>
              <w:rPr>
                <w:rFonts w:ascii="宋体" w:hAnsi="宋体" w:cs="新宋体"/>
                <w:snapToGrid/>
                <w:color w:val="auto"/>
                <w:spacing w:val="-4"/>
                <w:kern w:val="0"/>
                <w:sz w:val="24"/>
                <w:szCs w:val="24"/>
                <w:lang w:eastAsia="zh-CN"/>
              </w:rPr>
            </w:pPr>
            <w:r>
              <w:rPr>
                <w:rFonts w:hint="eastAsia" w:ascii="宋体" w:hAnsi="宋体" w:cs="宋体"/>
                <w:color w:val="000000"/>
                <w:kern w:val="0"/>
                <w:sz w:val="18"/>
                <w:szCs w:val="18"/>
                <w:lang w:bidi="ar"/>
              </w:rPr>
              <w:t>在役聚乙烯燃气管道检验与评价</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GB/T43922-2024</w:t>
            </w:r>
          </w:p>
        </w:tc>
        <w:tc>
          <w:tcPr>
            <w:tcW w:w="1635" w:type="dxa"/>
            <w:tcBorders>
              <w:top w:val="single" w:color="000000" w:sz="8" w:space="0"/>
              <w:left w:val="nil"/>
              <w:bottom w:val="single" w:color="000000" w:sz="8" w:space="0"/>
              <w:right w:val="single" w:color="000000" w:sz="8" w:space="0"/>
            </w:tcBorders>
            <w:vAlign w:val="center"/>
          </w:tcPr>
          <w:p>
            <w:pPr>
              <w:widowControl/>
              <w:jc w:val="center"/>
              <w:textAlignment w:val="center"/>
            </w:pPr>
            <w:r>
              <w:rPr>
                <w:rFonts w:hint="eastAsia" w:ascii="宋体" w:hAnsi="宋体" w:cs="宋体"/>
                <w:color w:val="000000"/>
                <w:kern w:val="0"/>
                <w:sz w:val="18"/>
                <w:szCs w:val="18"/>
                <w:lang w:bidi="ar"/>
              </w:rPr>
              <w:t>重庆市特种设备检测研究院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7</w:t>
            </w:r>
          </w:p>
        </w:tc>
        <w:tc>
          <w:tcPr>
            <w:tcW w:w="1325"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一种机器人定位与建图的数据融合处理方法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ZL202310049730.X</w:t>
            </w:r>
          </w:p>
        </w:tc>
        <w:tc>
          <w:tcPr>
            <w:tcW w:w="1635" w:type="dxa"/>
            <w:tcBorders>
              <w:top w:val="single" w:color="000000" w:sz="8" w:space="0"/>
              <w:left w:val="nil"/>
              <w:bottom w:val="single" w:color="000000" w:sz="8" w:space="0"/>
              <w:right w:val="single" w:color="000000" w:sz="8" w:space="0"/>
            </w:tcBorders>
            <w:tcMar>
              <w:top w:w="0" w:type="dxa"/>
              <w:left w:w="51" w:type="dxa"/>
              <w:bottom w:w="0" w:type="dxa"/>
              <w:right w:w="51" w:type="dxa"/>
            </w:tcMar>
            <w:vAlign w:val="center"/>
          </w:tcPr>
          <w:p>
            <w:pPr>
              <w:widowControl/>
              <w:spacing w:line="240" w:lineRule="atLeast"/>
              <w:jc w:val="center"/>
              <w:textAlignment w:val="center"/>
            </w:pPr>
            <w:r>
              <w:rPr>
                <w:rFonts w:hint="eastAsia" w:ascii="宋体" w:hAnsi="宋体" w:cs="宋体"/>
                <w:color w:val="000000"/>
                <w:kern w:val="0"/>
                <w:sz w:val="18"/>
                <w:szCs w:val="18"/>
                <w:lang w:bidi="ar"/>
              </w:rPr>
              <w:t>七腾机器人有限公司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9"/>
              <w:rPr>
                <w:rFonts w:ascii="宋体" w:hAnsi="宋体" w:eastAsia="宋体"/>
                <w:color w:val="auto"/>
                <w:spacing w:val="-1"/>
              </w:rPr>
            </w:pPr>
            <w:r>
              <w:rPr>
                <w:rFonts w:hint="eastAsia" w:ascii="宋体" w:hAnsi="宋体" w:eastAsia="宋体"/>
                <w:color w:val="auto"/>
                <w:spacing w:val="-1"/>
              </w:rPr>
              <w:t>8</w:t>
            </w:r>
          </w:p>
        </w:tc>
        <w:tc>
          <w:tcPr>
            <w:tcW w:w="1325"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管道漏磁检测系统、数据采集装置及方法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rPr>
              <w:t>ZL201611144595.3</w:t>
            </w:r>
          </w:p>
        </w:tc>
        <w:tc>
          <w:tcPr>
            <w:tcW w:w="1635" w:type="dxa"/>
            <w:tcBorders>
              <w:top w:val="single" w:color="000000" w:sz="8" w:space="0"/>
              <w:left w:val="nil"/>
              <w:bottom w:val="single" w:color="000000" w:sz="8" w:space="0"/>
              <w:right w:val="single" w:color="000000" w:sz="8" w:space="0"/>
            </w:tcBorders>
            <w:tcMar>
              <w:top w:w="0" w:type="dxa"/>
              <w:left w:w="51" w:type="dxa"/>
              <w:bottom w:w="0" w:type="dxa"/>
              <w:right w:w="51" w:type="dxa"/>
            </w:tcMar>
            <w:vAlign w:val="center"/>
          </w:tcPr>
          <w:p>
            <w:pPr>
              <w:widowControl/>
              <w:spacing w:line="240" w:lineRule="atLeast"/>
              <w:jc w:val="center"/>
              <w:textAlignment w:val="center"/>
            </w:pPr>
            <w:r>
              <w:rPr>
                <w:rFonts w:hint="eastAsia" w:ascii="宋体" w:hAnsi="宋体" w:cs="宋体"/>
                <w:color w:val="000000"/>
                <w:kern w:val="0"/>
                <w:sz w:val="18"/>
                <w:szCs w:val="18"/>
                <w:lang w:bidi="ar"/>
              </w:rPr>
              <w:t>中国特种设备检测研究院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4"/>
                <w:lang w:eastAsia="zh-CN"/>
              </w:rPr>
            </w:pPr>
            <w:r>
              <w:rPr>
                <w:rFonts w:hint="eastAsia" w:ascii="宋体" w:hAnsi="宋体" w:eastAsia="宋体"/>
                <w:color w:val="auto"/>
                <w:spacing w:val="-4"/>
                <w:lang w:eastAsia="zh-CN"/>
              </w:rPr>
              <w:t>9</w:t>
            </w:r>
          </w:p>
        </w:tc>
        <w:tc>
          <w:tcPr>
            <w:tcW w:w="1325"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基于无线传感器网络的管道内检测机器人跟踪定位方法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ZL202111175107.6</w:t>
            </w:r>
          </w:p>
        </w:tc>
        <w:tc>
          <w:tcPr>
            <w:tcW w:w="1635" w:type="dxa"/>
            <w:tcBorders>
              <w:top w:val="single" w:color="000000" w:sz="8" w:space="0"/>
              <w:left w:val="nil"/>
              <w:bottom w:val="single" w:color="000000" w:sz="8" w:space="0"/>
              <w:right w:val="single" w:color="000000" w:sz="8" w:space="0"/>
            </w:tcBorders>
            <w:tcMar>
              <w:top w:w="0" w:type="dxa"/>
              <w:left w:w="51" w:type="dxa"/>
              <w:bottom w:w="0" w:type="dxa"/>
              <w:right w:w="51" w:type="dxa"/>
            </w:tcMar>
            <w:vAlign w:val="center"/>
          </w:tcPr>
          <w:p>
            <w:pPr>
              <w:widowControl/>
              <w:jc w:val="center"/>
              <w:textAlignment w:val="center"/>
            </w:pPr>
            <w:r>
              <w:rPr>
                <w:rFonts w:hint="eastAsia" w:ascii="宋体" w:hAnsi="宋体" w:cs="宋体"/>
                <w:color w:val="000000"/>
                <w:kern w:val="0"/>
                <w:sz w:val="18"/>
                <w:szCs w:val="18"/>
                <w:lang w:bidi="ar"/>
              </w:rPr>
              <w:t>重庆邮电大学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exact"/>
        </w:trPr>
        <w:tc>
          <w:tcPr>
            <w:tcW w:w="59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outlineLvl w:val="9"/>
              <w:rPr>
                <w:rFonts w:ascii="宋体" w:hAnsi="宋体" w:eastAsia="宋体"/>
                <w:color w:val="auto"/>
                <w:spacing w:val="-4"/>
                <w:lang w:eastAsia="zh-CN"/>
              </w:rPr>
            </w:pPr>
            <w:r>
              <w:rPr>
                <w:rFonts w:hint="eastAsia" w:ascii="宋体" w:hAnsi="宋体" w:eastAsia="宋体"/>
                <w:color w:val="auto"/>
                <w:spacing w:val="-4"/>
                <w:lang w:eastAsia="zh-CN"/>
              </w:rPr>
              <w:t>1</w:t>
            </w:r>
            <w:r>
              <w:rPr>
                <w:rFonts w:ascii="宋体" w:hAnsi="宋体" w:eastAsia="宋体"/>
                <w:color w:val="auto"/>
                <w:spacing w:val="-4"/>
                <w:lang w:eastAsia="zh-CN"/>
              </w:rPr>
              <w:t>0</w:t>
            </w:r>
          </w:p>
        </w:tc>
        <w:tc>
          <w:tcPr>
            <w:tcW w:w="1325"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color w:val="000000"/>
                <w:kern w:val="0"/>
                <w:sz w:val="18"/>
                <w:szCs w:val="18"/>
                <w:lang w:bidi="ar"/>
              </w:rPr>
              <w:t>发明专利权</w:t>
            </w:r>
          </w:p>
        </w:tc>
        <w:tc>
          <w:tcPr>
            <w:tcW w:w="2230" w:type="dxa"/>
            <w:vAlign w:val="center"/>
          </w:tcPr>
          <w:p>
            <w:pPr>
              <w:widowControl/>
              <w:spacing w:line="240" w:lineRule="atLeast"/>
              <w:jc w:val="center"/>
              <w:textAlignment w:val="center"/>
              <w:rPr>
                <w:rFonts w:ascii="宋体" w:hAnsi="宋体" w:eastAsia="宋体"/>
                <w:color w:val="auto"/>
                <w:spacing w:val="-4"/>
                <w:lang w:eastAsia="zh-CN"/>
              </w:rPr>
            </w:pPr>
            <w:r>
              <w:rPr>
                <w:rFonts w:hint="eastAsia" w:ascii="宋体" w:hAnsi="宋体" w:cs="宋体"/>
                <w:sz w:val="18"/>
                <w:szCs w:val="18"/>
              </w:rPr>
              <w:t>一种压力管道检测用辅助系统及检测方法</w:t>
            </w:r>
          </w:p>
        </w:tc>
        <w:tc>
          <w:tcPr>
            <w:tcW w:w="1275" w:type="dxa"/>
            <w:vAlign w:val="center"/>
          </w:tcPr>
          <w:p>
            <w:pPr>
              <w:pStyle w:val="15"/>
              <w:keepNext w:val="0"/>
              <w:keepLines w:val="0"/>
              <w:pageBreakBefore w:val="0"/>
              <w:widowControl/>
              <w:wordWrap/>
              <w:overflowPunct/>
              <w:topLinePunct w:val="0"/>
              <w:bidi w:val="0"/>
              <w:adjustRightInd/>
              <w:spacing w:before="65" w:line="240" w:lineRule="auto"/>
              <w:ind w:left="0"/>
              <w:jc w:val="center"/>
              <w:outlineLvl w:val="9"/>
              <w:rPr>
                <w:rFonts w:ascii="宋体" w:hAnsi="宋体" w:eastAsia="宋体"/>
                <w:color w:val="auto"/>
                <w:spacing w:val="-4"/>
                <w:lang w:eastAsia="zh-CN"/>
              </w:rPr>
            </w:pPr>
            <w:r>
              <w:rPr>
                <w:rFonts w:hint="eastAsia" w:ascii="宋体" w:hAnsi="宋体" w:eastAsia="宋体"/>
                <w:color w:val="auto"/>
                <w:spacing w:val="-4"/>
                <w:lang w:eastAsia="zh-CN"/>
              </w:rPr>
              <w:t>中国</w:t>
            </w:r>
          </w:p>
        </w:tc>
        <w:tc>
          <w:tcPr>
            <w:tcW w:w="1530" w:type="dxa"/>
            <w:vAlign w:val="center"/>
          </w:tcPr>
          <w:p>
            <w:pPr>
              <w:widowControl/>
              <w:spacing w:line="240" w:lineRule="atLeast"/>
              <w:jc w:val="center"/>
              <w:textAlignment w:val="center"/>
              <w:rPr>
                <w:rFonts w:ascii="宋体" w:hAnsi="宋体" w:cs="新宋体"/>
                <w:snapToGrid/>
                <w:color w:val="auto"/>
                <w:spacing w:val="-4"/>
                <w:kern w:val="0"/>
                <w:sz w:val="24"/>
                <w:szCs w:val="24"/>
                <w:lang w:eastAsia="zh-CN"/>
              </w:rPr>
            </w:pPr>
            <w:r>
              <w:rPr>
                <w:rFonts w:hint="eastAsia" w:ascii="宋体" w:hAnsi="宋体" w:cs="宋体"/>
                <w:color w:val="000000"/>
                <w:kern w:val="0"/>
                <w:sz w:val="18"/>
                <w:szCs w:val="18"/>
                <w:lang w:bidi="ar"/>
              </w:rPr>
              <w:t>ZL202310525844.7</w:t>
            </w:r>
          </w:p>
        </w:tc>
        <w:tc>
          <w:tcPr>
            <w:tcW w:w="1635" w:type="dxa"/>
            <w:tcBorders>
              <w:top w:val="single" w:color="000000" w:sz="8" w:space="0"/>
              <w:left w:val="nil"/>
              <w:bottom w:val="single" w:color="000000" w:sz="8" w:space="0"/>
              <w:right w:val="single" w:color="000000" w:sz="8" w:space="0"/>
            </w:tcBorders>
            <w:tcMar>
              <w:top w:w="0" w:type="dxa"/>
              <w:left w:w="51" w:type="dxa"/>
              <w:bottom w:w="0" w:type="dxa"/>
              <w:right w:w="51" w:type="dxa"/>
            </w:tcMar>
            <w:vAlign w:val="center"/>
          </w:tcPr>
          <w:p>
            <w:pPr>
              <w:widowControl/>
              <w:spacing w:line="240" w:lineRule="atLeast"/>
              <w:jc w:val="center"/>
              <w:textAlignment w:val="center"/>
            </w:pPr>
            <w:r>
              <w:rPr>
                <w:rFonts w:hint="eastAsia" w:ascii="宋体" w:hAnsi="宋体" w:cs="宋体"/>
                <w:sz w:val="18"/>
                <w:szCs w:val="18"/>
              </w:rPr>
              <w:t>四川经准特种设备检验有限公司</w:t>
            </w:r>
          </w:p>
        </w:tc>
      </w:tr>
    </w:tbl>
    <w:p>
      <w:pPr>
        <w:numPr>
          <w:ilvl w:val="0"/>
          <w:numId w:val="0"/>
        </w:numPr>
        <w:spacing w:line="360" w:lineRule="auto"/>
        <w:rPr>
          <w:rFonts w:hint="eastAsia" w:ascii="宋体" w:hAnsi="宋体"/>
          <w:b/>
          <w:sz w:val="28"/>
          <w:szCs w:val="28"/>
          <w:lang w:val="en-US" w:eastAsia="zh-CN"/>
        </w:rPr>
      </w:pPr>
    </w:p>
    <w:sectPr>
      <w:footerReference r:id="rId3" w:type="default"/>
      <w:pgSz w:w="11906" w:h="16838"/>
      <w:pgMar w:top="1440" w:right="1558"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你是我向往的彼方">
    <w:panose1 w:val="02010600010101010101"/>
    <w:charset w:val="86"/>
    <w:family w:val="auto"/>
    <w:pitch w:val="default"/>
    <w:sig w:usb0="00000001" w:usb1="08010410" w:usb2="00000012" w:usb3="00000000" w:csb0="001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70143"/>
    <w:multiLevelType w:val="singleLevel"/>
    <w:tmpl w:val="67A701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NzhiNDJkYWM2M2Q0MTFiODgxOTBiYmRlZWIyNGUifQ=="/>
  </w:docVars>
  <w:rsids>
    <w:rsidRoot w:val="0056727E"/>
    <w:rsid w:val="0001585F"/>
    <w:rsid w:val="00033CC7"/>
    <w:rsid w:val="0005133B"/>
    <w:rsid w:val="0010469D"/>
    <w:rsid w:val="00120786"/>
    <w:rsid w:val="001413C3"/>
    <w:rsid w:val="00175742"/>
    <w:rsid w:val="001A579D"/>
    <w:rsid w:val="001C6326"/>
    <w:rsid w:val="001E6DAC"/>
    <w:rsid w:val="001F6F6E"/>
    <w:rsid w:val="002245EE"/>
    <w:rsid w:val="002475DE"/>
    <w:rsid w:val="002A5B4F"/>
    <w:rsid w:val="002B3895"/>
    <w:rsid w:val="002C71A0"/>
    <w:rsid w:val="002E2B35"/>
    <w:rsid w:val="00316D9D"/>
    <w:rsid w:val="00355065"/>
    <w:rsid w:val="003A2433"/>
    <w:rsid w:val="003C405E"/>
    <w:rsid w:val="003C705A"/>
    <w:rsid w:val="003D6C73"/>
    <w:rsid w:val="00406E15"/>
    <w:rsid w:val="00420F87"/>
    <w:rsid w:val="00437DCB"/>
    <w:rsid w:val="00442172"/>
    <w:rsid w:val="004438C2"/>
    <w:rsid w:val="004E1FAC"/>
    <w:rsid w:val="004F1FA6"/>
    <w:rsid w:val="00546AE0"/>
    <w:rsid w:val="0055334E"/>
    <w:rsid w:val="0056727E"/>
    <w:rsid w:val="00587407"/>
    <w:rsid w:val="00587F51"/>
    <w:rsid w:val="005B4900"/>
    <w:rsid w:val="005D3667"/>
    <w:rsid w:val="005E1F05"/>
    <w:rsid w:val="005F4231"/>
    <w:rsid w:val="00612302"/>
    <w:rsid w:val="00666EC6"/>
    <w:rsid w:val="0068097A"/>
    <w:rsid w:val="0068618D"/>
    <w:rsid w:val="006A0293"/>
    <w:rsid w:val="006A29E1"/>
    <w:rsid w:val="006C2751"/>
    <w:rsid w:val="006C2CE1"/>
    <w:rsid w:val="006E2666"/>
    <w:rsid w:val="007355B1"/>
    <w:rsid w:val="007527B7"/>
    <w:rsid w:val="00756632"/>
    <w:rsid w:val="00770101"/>
    <w:rsid w:val="00785147"/>
    <w:rsid w:val="00787698"/>
    <w:rsid w:val="0079574A"/>
    <w:rsid w:val="007C63F3"/>
    <w:rsid w:val="007E6329"/>
    <w:rsid w:val="007F31B9"/>
    <w:rsid w:val="007F6A0A"/>
    <w:rsid w:val="00806D68"/>
    <w:rsid w:val="008214F4"/>
    <w:rsid w:val="00851832"/>
    <w:rsid w:val="00860262"/>
    <w:rsid w:val="00864AEF"/>
    <w:rsid w:val="00883054"/>
    <w:rsid w:val="008B4A6E"/>
    <w:rsid w:val="00900563"/>
    <w:rsid w:val="009024FF"/>
    <w:rsid w:val="00923AA5"/>
    <w:rsid w:val="00927D7C"/>
    <w:rsid w:val="00935903"/>
    <w:rsid w:val="009561ED"/>
    <w:rsid w:val="00964147"/>
    <w:rsid w:val="00975101"/>
    <w:rsid w:val="00986F0C"/>
    <w:rsid w:val="00994B42"/>
    <w:rsid w:val="00995BE7"/>
    <w:rsid w:val="009A5066"/>
    <w:rsid w:val="009E25A9"/>
    <w:rsid w:val="00A07B34"/>
    <w:rsid w:val="00A37ECC"/>
    <w:rsid w:val="00A5484D"/>
    <w:rsid w:val="00A729EC"/>
    <w:rsid w:val="00A7544D"/>
    <w:rsid w:val="00A925CD"/>
    <w:rsid w:val="00AD4399"/>
    <w:rsid w:val="00AE4160"/>
    <w:rsid w:val="00AE4D7D"/>
    <w:rsid w:val="00B31A25"/>
    <w:rsid w:val="00B77907"/>
    <w:rsid w:val="00B82D15"/>
    <w:rsid w:val="00B94D88"/>
    <w:rsid w:val="00C1489E"/>
    <w:rsid w:val="00C25694"/>
    <w:rsid w:val="00C57BD8"/>
    <w:rsid w:val="00C97B3A"/>
    <w:rsid w:val="00CC3760"/>
    <w:rsid w:val="00CC3F6E"/>
    <w:rsid w:val="00CD15BE"/>
    <w:rsid w:val="00CD29C8"/>
    <w:rsid w:val="00D17BCA"/>
    <w:rsid w:val="00D35824"/>
    <w:rsid w:val="00D57E9C"/>
    <w:rsid w:val="00DE249A"/>
    <w:rsid w:val="00E50061"/>
    <w:rsid w:val="00E63290"/>
    <w:rsid w:val="00EC631F"/>
    <w:rsid w:val="00EC6CA9"/>
    <w:rsid w:val="00ED5C35"/>
    <w:rsid w:val="00EF2871"/>
    <w:rsid w:val="00F13DC0"/>
    <w:rsid w:val="00F149C3"/>
    <w:rsid w:val="00F568D1"/>
    <w:rsid w:val="00F86678"/>
    <w:rsid w:val="00FB0E5A"/>
    <w:rsid w:val="00FB525A"/>
    <w:rsid w:val="00FE302E"/>
    <w:rsid w:val="00FF40F5"/>
    <w:rsid w:val="05A6602A"/>
    <w:rsid w:val="0FAF1D74"/>
    <w:rsid w:val="116938E4"/>
    <w:rsid w:val="224E28E3"/>
    <w:rsid w:val="26751AB7"/>
    <w:rsid w:val="2B1B019B"/>
    <w:rsid w:val="33EF6F84"/>
    <w:rsid w:val="358F1484"/>
    <w:rsid w:val="35954DB6"/>
    <w:rsid w:val="3A8D76FB"/>
    <w:rsid w:val="41C85FA7"/>
    <w:rsid w:val="4431351A"/>
    <w:rsid w:val="4518685E"/>
    <w:rsid w:val="45B319B0"/>
    <w:rsid w:val="4801733A"/>
    <w:rsid w:val="49C97100"/>
    <w:rsid w:val="56161C77"/>
    <w:rsid w:val="569F79BB"/>
    <w:rsid w:val="5AC81E23"/>
    <w:rsid w:val="5B5D3EFF"/>
    <w:rsid w:val="5C1A1CD3"/>
    <w:rsid w:val="5D4C46E6"/>
    <w:rsid w:val="617F17F3"/>
    <w:rsid w:val="62DB6BA1"/>
    <w:rsid w:val="64C12C7E"/>
    <w:rsid w:val="68390C73"/>
    <w:rsid w:val="69366E84"/>
    <w:rsid w:val="70FA3540"/>
    <w:rsid w:val="71B12BAD"/>
    <w:rsid w:val="7A8070E8"/>
    <w:rsid w:val="7B70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3"/>
    <w:qFormat/>
    <w:uiPriority w:val="0"/>
    <w:pPr>
      <w:spacing w:line="360" w:lineRule="auto"/>
      <w:ind w:firstLine="480" w:firstLineChars="200"/>
    </w:pPr>
    <w:rPr>
      <w:rFonts w:ascii="仿宋_GB2312"/>
      <w:sz w:val="24"/>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000FF"/>
      <w:u w:val="single"/>
    </w:rPr>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纯文本 字符"/>
    <w:basedOn w:val="7"/>
    <w:semiHidden/>
    <w:qFormat/>
    <w:uiPriority w:val="99"/>
    <w:rPr>
      <w:rFonts w:hAnsi="Courier New" w:cs="Courier New" w:asciiTheme="minorEastAsia"/>
      <w:szCs w:val="20"/>
    </w:rPr>
  </w:style>
  <w:style w:type="character" w:customStyle="1" w:styleId="13">
    <w:name w:val="纯文本 字符1"/>
    <w:link w:val="4"/>
    <w:qFormat/>
    <w:uiPriority w:val="0"/>
    <w:rPr>
      <w:rFonts w:ascii="仿宋_GB2312" w:hAnsi="Times New Roman" w:eastAsia="宋体" w:cs="Times New Roman"/>
      <w:sz w:val="24"/>
      <w:szCs w:val="20"/>
    </w:rPr>
  </w:style>
  <w:style w:type="table" w:customStyle="1" w:styleId="14">
    <w:name w:val="Table Normal"/>
    <w:unhideWhenUsed/>
    <w:qFormat/>
    <w:uiPriority w:val="0"/>
    <w:rPr>
      <w:rFonts w:ascii="Arial" w:hAnsi="Arial" w:cs="Arial"/>
      <w:snapToGrid w:val="0"/>
      <w:color w:val="000000"/>
      <w:szCs w:val="21"/>
      <w:lang w:eastAsia="en-US"/>
    </w:rPr>
    <w:tblPr>
      <w:tblLayout w:type="fixed"/>
      <w:tblCellMar>
        <w:top w:w="0" w:type="dxa"/>
        <w:left w:w="0" w:type="dxa"/>
        <w:bottom w:w="0" w:type="dxa"/>
        <w:right w:w="0" w:type="dxa"/>
      </w:tblCellMar>
    </w:tblPr>
  </w:style>
  <w:style w:type="paragraph" w:customStyle="1" w:styleId="15">
    <w:name w:val="Table Text"/>
    <w:basedOn w:val="1"/>
    <w:semiHidden/>
    <w:qFormat/>
    <w:uiPriority w:val="0"/>
    <w:pPr>
      <w:widowControl/>
      <w:kinsoku w:val="0"/>
      <w:autoSpaceDE w:val="0"/>
      <w:autoSpaceDN w:val="0"/>
      <w:adjustRightInd w:val="0"/>
      <w:snapToGrid w:val="0"/>
      <w:jc w:val="left"/>
      <w:textAlignment w:val="baseline"/>
    </w:pPr>
    <w:rPr>
      <w:rFonts w:ascii="新宋体" w:hAnsi="新宋体" w:eastAsia="新宋体" w:cs="新宋体"/>
      <w:snapToGrid w:val="0"/>
      <w:color w:val="000000"/>
      <w:kern w:val="0"/>
      <w:sz w:val="24"/>
      <w:szCs w:val="24"/>
      <w:lang w:eastAsia="en-US"/>
    </w:rPr>
  </w:style>
  <w:style w:type="character" w:customStyle="1" w:styleId="16">
    <w:name w:val="标题 3 字符"/>
    <w:basedOn w:val="7"/>
    <w:link w:val="3"/>
    <w:qFormat/>
    <w:uiPriority w:val="9"/>
    <w:rPr>
      <w:rFonts w:ascii="宋体" w:hAnsi="宋体" w:eastAsia="宋体" w:cs="宋体"/>
      <w:b/>
      <w:bCs/>
      <w:kern w:val="0"/>
      <w:sz w:val="27"/>
      <w:szCs w:val="27"/>
    </w:rPr>
  </w:style>
  <w:style w:type="paragraph" w:customStyle="1" w:styleId="17">
    <w:name w:val="List Paragraph"/>
    <w:basedOn w:val="1"/>
    <w:qFormat/>
    <w:uiPriority w:val="34"/>
    <w:pPr>
      <w:ind w:firstLine="420" w:firstLineChars="200"/>
    </w:pPr>
  </w:style>
  <w:style w:type="character" w:customStyle="1" w:styleId="18">
    <w:name w:val="ql-font-microsoftyahei"/>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Words>
  <Characters>2523</Characters>
  <Lines>21</Lines>
  <Paragraphs>5</Paragraphs>
  <TotalTime>12</TotalTime>
  <ScaleCrop>false</ScaleCrop>
  <LinksUpToDate>false</LinksUpToDate>
  <CharactersWithSpaces>2960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2024-02-19T08:06:00Z</dcterms:created>
  <dc:creator>呐 张</dc:creator>
  <cp:lastModifiedBy>Administrator</cp:lastModifiedBy>
  <dcterms:modified xsi:type="dcterms:W3CDTF">2025-02-08T08:30:53Z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762CBAC8F7764C15AD804AA1FCF80F80_12</vt:lpwstr>
  </property>
</Properties>
</file>